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16"/>
      </w:tblGrid>
      <w:tr w:rsidR="00871D10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871D10" w:rsidRDefault="00F72C9D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D10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871D10" w:rsidRDefault="00F72C9D">
            <w:pPr>
              <w:pStyle w:val="ConsPlusTitlePage0"/>
              <w:jc w:val="center"/>
            </w:pPr>
            <w:r>
              <w:rPr>
                <w:sz w:val="48"/>
              </w:rPr>
              <w:t>Постановление Правительства Мурманской области от 29.01.2025 N 46-ПП</w:t>
            </w:r>
            <w:r>
              <w:rPr>
                <w:sz w:val="48"/>
              </w:rPr>
              <w:br/>
              <w:t>(ред. от 28.02.2025)</w:t>
            </w:r>
            <w:r>
              <w:rPr>
                <w:sz w:val="48"/>
              </w:rPr>
              <w:br/>
            </w:r>
            <w:r>
              <w:rPr>
                <w:sz w:val="48"/>
              </w:rPr>
              <w:t xml:space="preserve">"Об утверждении Порядка определения объема и предоставления субсидии из областного бюджета автономной некоммерческой организации "Агентство территориального развития Мурманской области" на финансовое обеспечение затрат, связанных с осуществлением уставной </w:t>
            </w:r>
            <w:r>
              <w:rPr>
                <w:sz w:val="48"/>
              </w:rPr>
              <w:t>деятельности, и внесении изменений в постановление Правительства Мурманской области от 19.12.2023 N 987-ПП"</w:t>
            </w:r>
          </w:p>
        </w:tc>
      </w:tr>
      <w:tr w:rsidR="00871D10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871D10" w:rsidRDefault="00F72C9D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27.10.2025</w:t>
            </w:r>
            <w:r>
              <w:rPr>
                <w:sz w:val="28"/>
              </w:rPr>
              <w:br/>
              <w:t> </w:t>
            </w:r>
          </w:p>
        </w:tc>
      </w:tr>
    </w:tbl>
    <w:p w:rsidR="00871D10" w:rsidRDefault="00871D10">
      <w:pPr>
        <w:pStyle w:val="ConsPlusNormal0"/>
        <w:sectPr w:rsidR="00871D10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871D10" w:rsidRDefault="00871D10">
      <w:pPr>
        <w:pStyle w:val="ConsPlusNormal0"/>
        <w:jc w:val="both"/>
        <w:outlineLvl w:val="0"/>
      </w:pPr>
    </w:p>
    <w:p w:rsidR="00871D10" w:rsidRDefault="00F72C9D">
      <w:pPr>
        <w:pStyle w:val="ConsPlusTitle0"/>
        <w:jc w:val="center"/>
        <w:outlineLvl w:val="0"/>
      </w:pPr>
      <w:r>
        <w:t>ПРАВИТЕЛЬСТВО МУРМАНСКОЙ ОБЛАСТИ</w:t>
      </w:r>
    </w:p>
    <w:p w:rsidR="00871D10" w:rsidRDefault="00871D10">
      <w:pPr>
        <w:pStyle w:val="ConsPlusTitle0"/>
        <w:jc w:val="both"/>
      </w:pPr>
    </w:p>
    <w:p w:rsidR="00871D10" w:rsidRDefault="00F72C9D">
      <w:pPr>
        <w:pStyle w:val="ConsPlusTitle0"/>
        <w:jc w:val="center"/>
      </w:pPr>
      <w:r>
        <w:t>ПОСТАНОВЛЕНИЕ</w:t>
      </w:r>
    </w:p>
    <w:p w:rsidR="00871D10" w:rsidRDefault="00F72C9D">
      <w:pPr>
        <w:pStyle w:val="ConsPlusTitle0"/>
        <w:jc w:val="center"/>
      </w:pPr>
      <w:r>
        <w:t>от 29 января 2025 г. N 46-ПП</w:t>
      </w:r>
    </w:p>
    <w:p w:rsidR="00871D10" w:rsidRDefault="00871D10">
      <w:pPr>
        <w:pStyle w:val="ConsPlusTitle0"/>
        <w:jc w:val="both"/>
      </w:pPr>
    </w:p>
    <w:p w:rsidR="00871D10" w:rsidRDefault="00F72C9D">
      <w:pPr>
        <w:pStyle w:val="ConsPlusTitle0"/>
        <w:jc w:val="center"/>
      </w:pPr>
      <w:r>
        <w:t>ОБ УТВЕРЖДЕНИИ ПОРЯДКА ОПРЕДЕЛЕНИЯ ОБЪЕМА И ПРЕДОСТАВЛЕНИЯ</w:t>
      </w:r>
    </w:p>
    <w:p w:rsidR="00871D10" w:rsidRDefault="00F72C9D">
      <w:pPr>
        <w:pStyle w:val="ConsPlusTitle0"/>
        <w:jc w:val="center"/>
      </w:pPr>
      <w:r>
        <w:t>СУБСИДИИ ИЗ ОБЛАСТНОГО БЮДЖЕТА АВТОНОМНОЙ НЕКОММЕРЧЕСКОЙ</w:t>
      </w:r>
    </w:p>
    <w:p w:rsidR="00871D10" w:rsidRDefault="00F72C9D">
      <w:pPr>
        <w:pStyle w:val="ConsPlusTitle0"/>
        <w:jc w:val="center"/>
      </w:pPr>
      <w:r>
        <w:t>ОРГАНИЗАЦИИ "АГЕНТСТВО ТЕРРИТОРИАЛЬНОГО РАЗВИТИЯ МУРМАНСКОЙ</w:t>
      </w:r>
    </w:p>
    <w:p w:rsidR="00871D10" w:rsidRDefault="00F72C9D">
      <w:pPr>
        <w:pStyle w:val="ConsPlusTitle0"/>
        <w:jc w:val="center"/>
      </w:pPr>
      <w:r>
        <w:t>ОБЛАСТИ" НА ФИНАНСОВОЕ ОБЕСПЕЧЕНИЕ ЗАТРАТ, СВЯЗАННЫХ</w:t>
      </w:r>
    </w:p>
    <w:p w:rsidR="00871D10" w:rsidRDefault="00F72C9D">
      <w:pPr>
        <w:pStyle w:val="ConsPlusTitle0"/>
        <w:jc w:val="center"/>
      </w:pPr>
      <w:r>
        <w:t>С ОСУЩЕСТВЛЕНИЕМ УСТАВНОЙ ДЕЯТЕЛЬНОСТИ, И ВНЕСЕНИИ ИЗМЕНЕНИЙ</w:t>
      </w:r>
    </w:p>
    <w:p w:rsidR="00871D10" w:rsidRDefault="00F72C9D">
      <w:pPr>
        <w:pStyle w:val="ConsPlusTitle0"/>
        <w:jc w:val="center"/>
      </w:pPr>
      <w:r>
        <w:t>В ПОСТАНОВЛЕНИЕ ПРАВИТЕЛЬ</w:t>
      </w:r>
      <w:r>
        <w:t>СТВА МУРМАНСКОЙ ОБЛАСТИ</w:t>
      </w:r>
    </w:p>
    <w:p w:rsidR="00871D10" w:rsidRDefault="00F72C9D">
      <w:pPr>
        <w:pStyle w:val="ConsPlusTitle0"/>
        <w:jc w:val="center"/>
      </w:pPr>
      <w:r>
        <w:t>ОТ 19.12.2023 N 987-ПП</w:t>
      </w:r>
    </w:p>
    <w:p w:rsidR="00871D10" w:rsidRDefault="00871D10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871D1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D10" w:rsidRDefault="00871D10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D10" w:rsidRDefault="00871D10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1D10" w:rsidRDefault="00F72C9D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1D10" w:rsidRDefault="00F72C9D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871D10" w:rsidRDefault="00F72C9D">
            <w:pPr>
              <w:pStyle w:val="ConsPlusNormal0"/>
              <w:jc w:val="center"/>
            </w:pPr>
            <w:r>
              <w:rPr>
                <w:color w:val="392C69"/>
              </w:rPr>
              <w:t>от 28.02.2025 N 140-ПП)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D10" w:rsidRDefault="00871D10">
            <w:pPr>
              <w:pStyle w:val="ConsPlusNormal0"/>
            </w:pPr>
          </w:p>
        </w:tc>
      </w:tr>
    </w:tbl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>В соответствии с пунктом 2 статьи 78.1 Бюджетного кодекса Российской Федерации, постановлением</w:t>
      </w:r>
      <w: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</w:t>
      </w:r>
      <w:r>
        <w:t>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в целях реализаци</w:t>
      </w:r>
      <w:r>
        <w:t>и мероприятий государственной программы Мурманской области "Формирование современной городской среды", утвержденной постановлением Правительства Мурманской области от 28.12.2024 N 991-ПП, Правительство Мурманской области постановляет:</w:t>
      </w:r>
    </w:p>
    <w:p w:rsidR="00871D10" w:rsidRDefault="00F72C9D">
      <w:pPr>
        <w:pStyle w:val="ConsPlusNormal0"/>
        <w:jc w:val="both"/>
      </w:pPr>
      <w:r>
        <w:t>(в ред. Постановления</w:t>
      </w:r>
      <w:r>
        <w:t xml:space="preserve"> Правительства Мурманской области от 28.02.2025 N 140-ПП)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1. Утвердить прилагаемый </w:t>
      </w:r>
      <w:hyperlink w:anchor="P38" w:tooltip="ПОРЯДОК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субсидии из областного бюджета автономной некоммерческой организации "Агентство территориа</w:t>
      </w:r>
      <w:r>
        <w:t>льного развития Мурманской области" на финансовое обеспечение затрат, связанных с осуществлением уставной деятельности.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2. Внести изменения в постановление Правительства Мурманской области от 19.12.2023 N 987-ПП "Об утверждении порядка предоставления из об</w:t>
      </w:r>
      <w:r>
        <w:t>ластного бюджета субсидии на финансовое обеспечение затрат, связанных с осуществлением уставной деятельности автономной некоммерческой организации "Агентство территориального развития Мурманской области" и о выделении денежных средств из резервного фонда П</w:t>
      </w:r>
      <w:r>
        <w:t>равительства Мурманской области", признав утратившими силу: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пункт 1;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утвержденный вышеназванным постановлением Порядок предоставления из областного бюджета субсидии на финансовое обеспечение затрат, связанных с осуществлением уставной деятельности авто</w:t>
      </w:r>
      <w:r>
        <w:t xml:space="preserve">номной некоммерческой организации "Агентство территориального развития </w:t>
      </w:r>
      <w:r>
        <w:lastRenderedPageBreak/>
        <w:t>Мурманской области".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3. Настоящее постановление вступает в силу со дня официального опубликования и распространяется на правоотношения, возникшие с 1 января 2025 года.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jc w:val="right"/>
      </w:pPr>
      <w:r>
        <w:t>Губернатор</w:t>
      </w:r>
    </w:p>
    <w:p w:rsidR="00871D10" w:rsidRDefault="00F72C9D">
      <w:pPr>
        <w:pStyle w:val="ConsPlusNormal0"/>
        <w:jc w:val="right"/>
      </w:pPr>
      <w:r>
        <w:t>Мурма</w:t>
      </w:r>
      <w:r>
        <w:t>нской области</w:t>
      </w:r>
    </w:p>
    <w:p w:rsidR="00871D10" w:rsidRDefault="00F72C9D">
      <w:pPr>
        <w:pStyle w:val="ConsPlusNormal0"/>
        <w:jc w:val="right"/>
      </w:pPr>
      <w:r>
        <w:t>А.В.ЧИБИС</w:t>
      </w: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jc w:val="right"/>
        <w:outlineLvl w:val="0"/>
      </w:pPr>
      <w:r>
        <w:t>Утвержден</w:t>
      </w:r>
    </w:p>
    <w:p w:rsidR="00871D10" w:rsidRDefault="00F72C9D">
      <w:pPr>
        <w:pStyle w:val="ConsPlusNormal0"/>
        <w:jc w:val="right"/>
      </w:pPr>
      <w:r>
        <w:t>постановлением</w:t>
      </w:r>
    </w:p>
    <w:p w:rsidR="00871D10" w:rsidRDefault="00F72C9D">
      <w:pPr>
        <w:pStyle w:val="ConsPlusNormal0"/>
        <w:jc w:val="right"/>
      </w:pPr>
      <w:r>
        <w:t>Правительства Мурманской области</w:t>
      </w:r>
    </w:p>
    <w:p w:rsidR="00871D10" w:rsidRDefault="00F72C9D">
      <w:pPr>
        <w:pStyle w:val="ConsPlusNormal0"/>
        <w:jc w:val="right"/>
      </w:pPr>
      <w:r>
        <w:t>от 29 января 2025 г. N 46-ПП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Title0"/>
        <w:jc w:val="center"/>
      </w:pPr>
      <w:bookmarkStart w:id="1" w:name="P38"/>
      <w:bookmarkEnd w:id="1"/>
      <w:r>
        <w:t>ПОРЯДОК</w:t>
      </w:r>
    </w:p>
    <w:p w:rsidR="00871D10" w:rsidRDefault="00F72C9D">
      <w:pPr>
        <w:pStyle w:val="ConsPlusTitle0"/>
        <w:jc w:val="center"/>
      </w:pPr>
      <w:r>
        <w:t>ОПРЕДЕЛЕНИЯ ОБЪЕМА И ПРЕДОСТАВЛЕНИЯ СУБСИДИИ ИЗ ОБЛАСТНОГО</w:t>
      </w:r>
    </w:p>
    <w:p w:rsidR="00871D10" w:rsidRDefault="00F72C9D">
      <w:pPr>
        <w:pStyle w:val="ConsPlusTitle0"/>
        <w:jc w:val="center"/>
      </w:pPr>
      <w:r>
        <w:t>БЮДЖЕТА АВТОНОМНОЙ НЕКОММЕРЧЕСКОЙ ОРГАНИЗАЦИИ "АГЕНТСТВО</w:t>
      </w:r>
    </w:p>
    <w:p w:rsidR="00871D10" w:rsidRDefault="00F72C9D">
      <w:pPr>
        <w:pStyle w:val="ConsPlusTitle0"/>
        <w:jc w:val="center"/>
      </w:pPr>
      <w:r>
        <w:t>ТЕРРИТОРИАЛЬНОГО РАЗВИТИЯ МУРМАНСКОЙ ОБЛАСТИ" НА ФИНАНСОВОЕ</w:t>
      </w:r>
    </w:p>
    <w:p w:rsidR="00871D10" w:rsidRDefault="00F72C9D">
      <w:pPr>
        <w:pStyle w:val="ConsPlusTitle0"/>
        <w:jc w:val="center"/>
      </w:pPr>
      <w:r>
        <w:t>ОБЕСПЕЧЕНИЕ ЗАТРАТ, СВЯЗАННЫХ С ОСУЩЕСТВЛЕНИЕМ УСТАВНОЙ</w:t>
      </w:r>
    </w:p>
    <w:p w:rsidR="00871D10" w:rsidRDefault="00F72C9D">
      <w:pPr>
        <w:pStyle w:val="ConsPlusTitle0"/>
        <w:jc w:val="center"/>
      </w:pPr>
      <w:r>
        <w:t>ДЕЯТЕЛЬНОСТИ</w:t>
      </w:r>
    </w:p>
    <w:p w:rsidR="00871D10" w:rsidRDefault="00871D10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871D1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D10" w:rsidRDefault="00871D10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D10" w:rsidRDefault="00871D10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1D10" w:rsidRDefault="00F72C9D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1D10" w:rsidRDefault="00F72C9D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871D10" w:rsidRDefault="00F72C9D">
            <w:pPr>
              <w:pStyle w:val="ConsPlusNormal0"/>
              <w:jc w:val="center"/>
            </w:pPr>
            <w:r>
              <w:rPr>
                <w:color w:val="392C69"/>
              </w:rPr>
              <w:t>от 28.02.2025 N 140-ПП)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D10" w:rsidRDefault="00871D10">
            <w:pPr>
              <w:pStyle w:val="ConsPlusNormal0"/>
            </w:pPr>
          </w:p>
        </w:tc>
      </w:tr>
    </w:tbl>
    <w:p w:rsidR="00871D10" w:rsidRDefault="00871D10">
      <w:pPr>
        <w:pStyle w:val="ConsPlusNormal0"/>
        <w:jc w:val="both"/>
      </w:pPr>
    </w:p>
    <w:p w:rsidR="00871D10" w:rsidRDefault="00F72C9D">
      <w:pPr>
        <w:pStyle w:val="ConsPlusTitle0"/>
        <w:jc w:val="center"/>
        <w:outlineLvl w:val="1"/>
      </w:pPr>
      <w:r>
        <w:t>1. Общие положения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>1.1. Настоящий Порядок устанавливает условия и порядок определения объема и предоставления субсидии из областного бюджета автономной некоммерческой организации "Агентство территориального развития Мурманской области" (далее - Порядок, с</w:t>
      </w:r>
      <w:r>
        <w:t>убсидия, АНО "АТР МО" соответственно).</w:t>
      </w:r>
    </w:p>
    <w:p w:rsidR="00871D10" w:rsidRDefault="00F72C9D">
      <w:pPr>
        <w:pStyle w:val="ConsPlusNormal0"/>
        <w:spacing w:before="240"/>
        <w:ind w:firstLine="540"/>
        <w:jc w:val="both"/>
      </w:pPr>
      <w:bookmarkStart w:id="2" w:name="P51"/>
      <w:bookmarkEnd w:id="2"/>
      <w:r>
        <w:t>1.2. Целью предоставления субсидии является финансовое обеспечение затрат АНО "АТР МО" (далее - Получатель), связанных с осуществлением уставной деятельности в рамках комплекса процессных мероприятий "Обеспечение реал</w:t>
      </w:r>
      <w:r>
        <w:t>изации государственных функций в сфере архитектуры, градостроительства, рекламы и формирования комфортной среды проживания населения региона в части комплексного благоустройства территории" государственной программы Мурманской области "Формирование совреме</w:t>
      </w:r>
      <w:r>
        <w:t>нной городской среды", утвержденной постановлением Правительства Мурманской области от 28.12.2024 N 991-ПП.</w:t>
      </w:r>
    </w:p>
    <w:p w:rsidR="00871D10" w:rsidRDefault="00F72C9D">
      <w:pPr>
        <w:pStyle w:val="ConsPlusNormal0"/>
        <w:jc w:val="both"/>
      </w:pPr>
      <w:r>
        <w:t>(п. 1.2 в ред. Постановления Правительства Мурманской области от 28.02.2025 N 140-ПП)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1.3. Министерство градостроительства и благоустройства Мурманс</w:t>
      </w:r>
      <w:r>
        <w:t xml:space="preserve">кой области (далее - </w:t>
      </w:r>
      <w:r>
        <w:lastRenderedPageBreak/>
        <w:t>Министерство)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</w:t>
      </w:r>
      <w:r>
        <w:t>ств на предоставление субсидии на соответствующий финансовый год и на плановый период.</w:t>
      </w:r>
    </w:p>
    <w:p w:rsidR="00871D10" w:rsidRDefault="00F72C9D">
      <w:pPr>
        <w:pStyle w:val="ConsPlusNormal0"/>
        <w:jc w:val="both"/>
      </w:pPr>
      <w:r>
        <w:t>(в ред. Постановления Правительства Мурманской области от 28.02.2025 N 140-ПП)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1.4. Сведения о субсидии, предоставляемой в соответствии с настоящим Порядком, подлежат ра</w:t>
      </w:r>
      <w:r>
        <w:t>змещению на едином портале бюджетной системы Российской Федерации в информационно-телекоммуникационной сети Интернет (в разделе единого портала) в порядке, установленном Министерством финансов Российской Федерации.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Title0"/>
        <w:jc w:val="center"/>
        <w:outlineLvl w:val="1"/>
      </w:pPr>
      <w:r>
        <w:t>2. Условия предоставления субсидии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>2.1.</w:t>
      </w:r>
      <w:r>
        <w:t xml:space="preserve"> Условиями предоставления субсидии являются: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2.1.1. Наличие согласия Получателя на осуществление Министерством проверки соблюдения Получателем условий и порядка предоставления субсидии, в том числе в части достижения результатов предоставления субсидии, а </w:t>
      </w:r>
      <w:r>
        <w:t>также органами государственного финансового контроля проверки в соответствии со статьями 268.1 и 269.2 Бюджетного кодекса Российской Федерации и на включение таких положений в соглашение о предоставлении субсидии, заключенное Министерством с АНО "АТР МО" (</w:t>
      </w:r>
      <w:r>
        <w:t>далее - соглашение).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2.1.2. Запрет на приобретение Получателем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</w:t>
      </w:r>
      <w:r>
        <w:t>огичного импортного оборудования, сырья и комплектующих изделий.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2.1.3. Принятие Получателем обязательства по достижению значений результата и характеристик результата, установленных в соглашении.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2.1.4. Соответствие Получателя требованиям, установленным в</w:t>
      </w:r>
      <w:r>
        <w:t xml:space="preserve"> </w:t>
      </w:r>
      <w:hyperlink w:anchor="P64" w:tooltip="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">
        <w:r>
          <w:rPr>
            <w:color w:val="0000FF"/>
          </w:rPr>
          <w:t>пункте 2.2</w:t>
        </w:r>
      </w:hyperlink>
      <w:r>
        <w:t xml:space="preserve"> настоящего По</w:t>
      </w:r>
      <w:r>
        <w:t>рядка.</w:t>
      </w:r>
    </w:p>
    <w:p w:rsidR="00871D10" w:rsidRDefault="00F72C9D">
      <w:pPr>
        <w:pStyle w:val="ConsPlusNormal0"/>
        <w:spacing w:before="240"/>
        <w:ind w:firstLine="540"/>
        <w:jc w:val="both"/>
      </w:pPr>
      <w:bookmarkStart w:id="3" w:name="P64"/>
      <w:bookmarkEnd w:id="3"/>
      <w:r>
        <w:t>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2.2.1. На едином налоговом счете Получателя отсут</w:t>
      </w:r>
      <w:r>
        <w:t>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2.2.2. У Получателя отсутствует просроче</w:t>
      </w:r>
      <w:r>
        <w:t>нная задолженность по возврату в областной бюджет субсидий,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областным бюджетом.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2.2.3. Получат</w:t>
      </w:r>
      <w:r>
        <w:t xml:space="preserve">ель не является иностранным юридическим лицом, в том числе местом </w:t>
      </w:r>
      <w:r>
        <w:lastRenderedPageBreak/>
        <w:t>регистрации которого являются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</w:t>
      </w:r>
      <w:r>
        <w:t>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</w:t>
      </w:r>
      <w:r>
        <w:t>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</w:t>
      </w:r>
      <w:r>
        <w:t>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</w:t>
      </w:r>
      <w:r>
        <w:t xml:space="preserve"> участие в капитале указанных публичных акционерных обществ.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2.2.4. Получатель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2.2.5. Получатель не н</w:t>
      </w:r>
      <w:r>
        <w:t>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</w:t>
      </w:r>
      <w:r>
        <w:t>ими организациями и террористами или с распространением оружия массового уничтожения.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2.2.6. Получатель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51" w:tooltip="1.2. Целью предоставления субсидии является финансовое обеспечение затрат АНО &quot;АТР МО&quot; (далее - Получатель), связанных с осуществлением уставной деятельности в рамках комплекса процессных мероприятий &quot;Обеспечение реализации государственных функций в сфере архи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2.2.7. Получатель не является иностранным агентом в соответствии с Федеральным законом "О контроле за деятельностью лиц, находящихся под иностранным влиянием".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Title0"/>
        <w:jc w:val="center"/>
        <w:outlineLvl w:val="1"/>
      </w:pPr>
      <w:r>
        <w:t>3. Порядок предоставления субсидии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bookmarkStart w:id="4" w:name="P75"/>
      <w:bookmarkEnd w:id="4"/>
      <w:r>
        <w:t>3.1. Для получения субсидии Получатель представляет в Министерство следующие документы: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- </w:t>
      </w:r>
      <w:hyperlink w:anchor="P198" w:tooltip="ЗАЯВКА">
        <w:r>
          <w:rPr>
            <w:color w:val="0000FF"/>
          </w:rPr>
          <w:t>заявку</w:t>
        </w:r>
      </w:hyperlink>
      <w:r>
        <w:t xml:space="preserve"> на предоставление субсидии (далее - заявка) по форме согласно приложению N 1 к настоящему Порядку;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копии учредительны</w:t>
      </w:r>
      <w:r>
        <w:t>х документов, заверенные в установленном порядке;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письменное согласие Получателя на осуществление Министерством проверки соблюдения Получателем условий и порядка предоставления субсидии, в том числе в части достижения результатов предоставления субсидии,</w:t>
      </w:r>
      <w:r>
        <w:t xml:space="preserve"> а также органами государственного финансового контроля проверки в соответствии со статьями 268.1 и 269.2 Бюджетного кодекса Российской Федерации (далее - проверки) и на включение таких положений в соглашение;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- выписку из Единого государственного реестра </w:t>
      </w:r>
      <w:r>
        <w:t xml:space="preserve">юридических лиц, справку налогового органа об отсутствии или непревышении размера, определенного пунктом 3 статьи 47 Налогового кодекса Российской Федерации, задолженности по уплате налогов, сборов и страховых взносов в бюджеты </w:t>
      </w:r>
      <w:r>
        <w:lastRenderedPageBreak/>
        <w:t>бюджетной системы Российской</w:t>
      </w:r>
      <w:r>
        <w:t xml:space="preserve"> Федерации. Указанные документы запрашиваются Министерством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Пол</w:t>
      </w:r>
      <w:r>
        <w:t>учатель не представил указанные документы;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- финансово-экономические расчеты с документами, обосновывающими стоимость работ, услуг, товаров, приобретаемых в соответствии с направлениями затрат согласно </w:t>
      </w:r>
      <w:hyperlink w:anchor="P245" w:tooltip="ПЕРЕЧЕНЬ">
        <w:r>
          <w:rPr>
            <w:color w:val="0000FF"/>
          </w:rPr>
          <w:t xml:space="preserve">приложению N </w:t>
        </w:r>
        <w:r>
          <w:rPr>
            <w:color w:val="0000FF"/>
          </w:rPr>
          <w:t>2</w:t>
        </w:r>
      </w:hyperlink>
      <w:r>
        <w:t xml:space="preserve"> к настоящему Порядку.</w:t>
      </w:r>
    </w:p>
    <w:p w:rsidR="00871D10" w:rsidRDefault="00F72C9D">
      <w:pPr>
        <w:pStyle w:val="ConsPlusNormal0"/>
        <w:spacing w:before="240"/>
        <w:ind w:firstLine="540"/>
        <w:jc w:val="both"/>
      </w:pPr>
      <w:bookmarkStart w:id="5" w:name="P81"/>
      <w:bookmarkEnd w:id="5"/>
      <w:r>
        <w:t xml:space="preserve">3.2. Министерство в течение 5 (пяти) рабочих дней со дня поступления документов, указанных в </w:t>
      </w:r>
      <w:hyperlink w:anchor="P75" w:tooltip="3.1. Для получения субсидии Получатель представляет в Министерство следующие документы:">
        <w:r>
          <w:rPr>
            <w:color w:val="0000FF"/>
          </w:rPr>
          <w:t>пункте 3.1</w:t>
        </w:r>
      </w:hyperlink>
      <w:r>
        <w:t xml:space="preserve"> настоящего Порядка, рассматривает их на предмет соответствия Получателя требованиям, указанным в </w:t>
      </w:r>
      <w:hyperlink w:anchor="P64" w:tooltip="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">
        <w:r>
          <w:rPr>
            <w:color w:val="0000FF"/>
          </w:rPr>
          <w:t>пункте 2.2</w:t>
        </w:r>
      </w:hyperlink>
      <w:r>
        <w:t>, обоснованности объемов средств, заявленных по направлениям расходов, и принимает решение о согласовании или отказе в предоставлении субсидии.</w:t>
      </w:r>
    </w:p>
    <w:p w:rsidR="00871D10" w:rsidRDefault="00F72C9D">
      <w:pPr>
        <w:pStyle w:val="ConsPlusNormal0"/>
        <w:spacing w:before="240"/>
        <w:ind w:firstLine="540"/>
        <w:jc w:val="both"/>
      </w:pPr>
      <w:bookmarkStart w:id="6" w:name="P82"/>
      <w:bookmarkEnd w:id="6"/>
      <w:r>
        <w:t>Проверка документов, прилагае</w:t>
      </w:r>
      <w:r>
        <w:t>мых к заявке, проводится комиссией, сформированной приказом Министерства, решение о предоставлении или отказе в предоставлении субсидии оформляется протоколом указанной комиссии.</w:t>
      </w:r>
    </w:p>
    <w:p w:rsidR="00871D10" w:rsidRDefault="00F72C9D">
      <w:pPr>
        <w:pStyle w:val="ConsPlusNormal0"/>
        <w:spacing w:before="240"/>
        <w:ind w:firstLine="540"/>
        <w:jc w:val="both"/>
      </w:pPr>
      <w:bookmarkStart w:id="7" w:name="P83"/>
      <w:bookmarkEnd w:id="7"/>
      <w:r>
        <w:t>3.3. В случае отсутствия отдельных документов и (или) при наличии иных замеча</w:t>
      </w:r>
      <w:r>
        <w:t xml:space="preserve">ний Министерство в течение 1 (одного) рабочего дня, следующего за днем окончания рассмотрения документов, направляет Получателю уведомление с перечнем недостающих документов и рекомендацией представить необходимые документы и устранить замечания в течение </w:t>
      </w:r>
      <w:r>
        <w:t>10 рабочих дней со дня получения сообщения.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3.4. Основаниями для отказа в предоставлении субсидии являются: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- несоответствие представленных Получателем документов требованиям </w:t>
      </w:r>
      <w:hyperlink w:anchor="P75" w:tooltip="3.1. Для получения субсидии Получатель представляет в Министерство следующие документы:">
        <w:r>
          <w:rPr>
            <w:color w:val="0000FF"/>
          </w:rPr>
          <w:t>пункта 3.1</w:t>
        </w:r>
      </w:hyperlink>
      <w:r>
        <w:t xml:space="preserve"> Порядка или непредставление (представление не в полном объеме) указанных документов;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установление факта недостоверности информации, содержащейся в документах, представленных Получателем;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несоответствие П</w:t>
      </w:r>
      <w:r>
        <w:t xml:space="preserve">олучателя требованиям, установленным в </w:t>
      </w:r>
      <w:hyperlink w:anchor="P64" w:tooltip="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">
        <w:r>
          <w:rPr>
            <w:color w:val="0000FF"/>
          </w:rPr>
          <w:t>пункте 2.2</w:t>
        </w:r>
      </w:hyperlink>
      <w:r>
        <w:t xml:space="preserve"> настоящего Порядка;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необоснованность финансово-экономических расчетов.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3.5. После устранения причин, послуживших основанием для отказа в предоставлении субсидии, Получатель вправе повторно обратиться в Министерство за получением </w:t>
      </w:r>
      <w:r>
        <w:t>субсидии.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Повторное рассмотрение документов на предоставление субсидии осуществляется по правилам, установленным в </w:t>
      </w:r>
      <w:hyperlink w:anchor="P81" w:tooltip="3.2. Министерство в течение 5 (пяти) рабочих дней со дня поступления документов, указанных в пункте 3.1 настоящего Порядка, рассматривает их на предмет соответствия Получателя требованиям, указанным в пункте 2.2, обоснованности объемов средств, заявленных по н">
        <w:r>
          <w:rPr>
            <w:color w:val="0000FF"/>
          </w:rPr>
          <w:t>пунктах 3.2</w:t>
        </w:r>
      </w:hyperlink>
      <w:r>
        <w:t xml:space="preserve"> - </w:t>
      </w:r>
      <w:hyperlink w:anchor="P83" w:tooltip="3.3. В случае отсутствия отдельных документов и (или) при наличии иных замечаний Министерство в течение 1 (одного) рабочего дня, следующего за днем окончания рассмотрения документов, направляет Получателю уведомление с перечнем недостающих документов и рекомен">
        <w:r>
          <w:rPr>
            <w:color w:val="0000FF"/>
          </w:rPr>
          <w:t>3.3</w:t>
        </w:r>
      </w:hyperlink>
      <w:r>
        <w:t xml:space="preserve"> настоящего Порядка.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3.6. Субсидия носит целевой хар</w:t>
      </w:r>
      <w:r>
        <w:t xml:space="preserve">актер и не может быть использована на иные цели и по иным направлениям расходов, кроме как установленным в </w:t>
      </w:r>
      <w:hyperlink w:anchor="P245" w:tooltip="ПЕРЕЧЕНЬ">
        <w:r>
          <w:rPr>
            <w:color w:val="0000FF"/>
          </w:rPr>
          <w:t>приложении N 2</w:t>
        </w:r>
      </w:hyperlink>
      <w:r>
        <w:t xml:space="preserve"> к настоящему Порядку.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3.7. Предоставление субсидии Получателю осуществляется в соответствии с</w:t>
      </w:r>
      <w:r>
        <w:t xml:space="preserve"> соглашением.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Соглашение, дополнительное соглашение к соглашению, в том числе дополнительное </w:t>
      </w:r>
      <w:r>
        <w:lastRenderedPageBreak/>
        <w:t>соглашение о расторжении соглашения, заключаются в государственной интегрированной информационной системе управления общественными финансами "Электронный бюджет" (</w:t>
      </w:r>
      <w:r>
        <w:t xml:space="preserve">далее - система "Электронный бюджет") в соответствии с типовыми формами, утвержденными Министерством финансов Мурманской области, в течение 5 рабочих дней с даты подписания протокола комиссии о предоставлении субсидии, указанного в </w:t>
      </w:r>
      <w:hyperlink w:anchor="P82" w:tooltip="Проверка документов, прилагаемых к заявке, проводится комиссией, сформированной приказом Министерства, решение о предоставлении или отказе в предоставлении субсидии оформляется протоколом указанной комиссии.">
        <w:r>
          <w:rPr>
            <w:color w:val="0000FF"/>
          </w:rPr>
          <w:t>абзаце втором пункта 3.2</w:t>
        </w:r>
      </w:hyperlink>
      <w:r>
        <w:t xml:space="preserve"> настоящего Поряд</w:t>
      </w:r>
      <w:r>
        <w:t>ка.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Получатель в течение 5 рабочих дней, следующих за днем получения проекта соглашения в системе "Электронный бюджет", подписывает соглашение в системе "Электронный бюджет" усиленной квалифицированной электронной цифровой подписью.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В случае если Получател</w:t>
      </w:r>
      <w:r>
        <w:t>ь не подписал соглашение в порядке и сроки, указанные в настоящем пункте, он считается уклонившимся от заключения соглашения и теряет право на получение субсидии в рамках поданной заявки.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В соглашение включаются обязательства Получателя: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а) о согласии лиц,</w:t>
      </w:r>
      <w:r>
        <w:t xml:space="preserve"> получающих средства на основании договоров (соглашений), заключенных с Получателем субсидий, на осуществление в отношении их проверки главным распорядителем бюджетных средств соблюдения порядка и условий предоставления субсидии, в том числе в части достиж</w:t>
      </w:r>
      <w:r>
        <w:t>ения результатов предоставления субсидии, а также проверки органами государственного (муниципального) финансового контроля в соответствии со статьями 268.1 и 269.2 Бюджетного кодекса Российской Федерации и на включение таких положений в соглашение;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б) о со</w:t>
      </w:r>
      <w:r>
        <w:t>гласовании новых условий соглашения или о расторжении соглашения при недостижении согласия по новым условиям, в том числе в случае уменьшения Министерству ранее доведенных лимитов бюджетных обязательств на предоставление субсидии на соответствующий финансо</w:t>
      </w:r>
      <w:r>
        <w:t>вый год, приводящего к невозможности предоставления субсидии в размере, установленном соглашением;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в) об обеспечении соблюдения финансового плана доходов и расходов, сметы расходов, разработанных в соответствии с пунктом 5 Общих требований к порядку формир</w:t>
      </w:r>
      <w:r>
        <w:t>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область, утвержденных поста</w:t>
      </w:r>
      <w:r>
        <w:t>новлением Правительства Мурманской области от 02.07.2021 N 434-ПП;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г) о заключении соглашения с ГАУМО "Региональный центр организации закупок" о передаче отдельных функций по проведению торговых процедур для обеспечения текущей деятельности в целях реализации уставных задач автономной некоммерческой организации, единствен</w:t>
      </w:r>
      <w:r>
        <w:t>ным учредителем которой является Мурманская область;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д)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"Закупки Мурманской области</w:t>
      </w:r>
      <w:r>
        <w:t>" автоматизированной информационной системы управления закупками Мурманской области "WEB-Торги".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При реорганизации Получателя в форме слияния, присоединения или преобразования в </w:t>
      </w:r>
      <w:r>
        <w:lastRenderedPageBreak/>
        <w:t>соглашение вносятся изменения путем заключения дополнительного соглашения к со</w:t>
      </w:r>
      <w:r>
        <w:t>глашению в части перемены лица в обязательстве с указанием в соглашении юридического лица, являющегося правопреемником.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При реорганизации Получателя в форме разделения, выделения, а также при ликвидации Получателя соглашение расторгается с формированием ув</w:t>
      </w:r>
      <w:r>
        <w:t>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обязательствах, источником финансового обеспечения которых является субсидия, и возврате неиспол</w:t>
      </w:r>
      <w:r>
        <w:t>ьзованного остатка субсидии в областной бюджет.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3.8. Изменение Соглашения допускается путем заключения дополнительного соглашения.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Дополнительное соглашение, в том числе дополнительное соглашение о расторжении Соглашения о предоставлении субсидии, заключае</w:t>
      </w:r>
      <w:r>
        <w:t>тся в соответствии с типовой формой, утвержденной Министерством финансов Мурманской области.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3.9. Получатель субсидии может перераспределять средства субсидии между направлениями расходов, подлежащими финансированию, при условии заключения дополнительного </w:t>
      </w:r>
      <w:r>
        <w:t>соглашения к Соглашению о предоставлении субсидии.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Title0"/>
        <w:jc w:val="center"/>
        <w:outlineLvl w:val="1"/>
      </w:pPr>
      <w:r>
        <w:t>4. Финансирование получателя субсидии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 xml:space="preserve">Перечисление субсидии осуществляется в соответствии с бюджетным законодательством Российской Федерации на расчетный счет Получателя, открытый в российской кредитной </w:t>
      </w:r>
      <w:r>
        <w:t>организации, не позднее десятого рабочего дня, следующего за днем поступления Министерству средств из областного бюджета.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Title0"/>
        <w:jc w:val="center"/>
        <w:outlineLvl w:val="1"/>
      </w:pPr>
      <w:r>
        <w:t>5. Порядок определения размера субсидии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>5.1. Размер субсидии определяется в порядке, установленном "Общими требованиями</w:t>
      </w:r>
      <w:r>
        <w:t xml:space="preserve"> к порядку формирования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область", </w:t>
      </w:r>
      <w:r>
        <w:t xml:space="preserve">утвержденными постановлением Правительства Мурманской области от 02.07.2021 N 434-ПП, на основе финансового плана и сметы расходов по направлениям расходов, указанным в </w:t>
      </w:r>
      <w:hyperlink w:anchor="P245" w:tooltip="ПЕРЕЧЕНЬ">
        <w:r>
          <w:rPr>
            <w:color w:val="0000FF"/>
          </w:rPr>
          <w:t>приложении N 2</w:t>
        </w:r>
      </w:hyperlink>
      <w:r>
        <w:t xml:space="preserve"> к настоящему Порядку.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5.2. Разм</w:t>
      </w:r>
      <w:r>
        <w:t>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</w:t>
      </w:r>
      <w:r>
        <w:t>отренным Бюджетным кодексом Российской Федерации, законом Мурманской области об областном бюджете и Законом Мурманской области "О бюджетном процессе в Мурманской области".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Title0"/>
        <w:jc w:val="center"/>
        <w:outlineLvl w:val="1"/>
      </w:pPr>
      <w:r>
        <w:t>6. Результат предоставления субсидии и характеристики</w:t>
      </w:r>
    </w:p>
    <w:p w:rsidR="00871D10" w:rsidRDefault="00F72C9D">
      <w:pPr>
        <w:pStyle w:val="ConsPlusTitle0"/>
        <w:jc w:val="center"/>
      </w:pPr>
      <w:r>
        <w:t>результата предоставления суб</w:t>
      </w:r>
      <w:r>
        <w:t>сидии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lastRenderedPageBreak/>
        <w:t>6.1. Результатом предоставления субсидии являются оказанные Получателем субсидии на конец отчетного года услуги по пространственному и территориальному развитию Мурманской области, повышению эффективности управления территориями и объектами недвижим</w:t>
      </w:r>
      <w:r>
        <w:t xml:space="preserve">ости на территории Мурманской области, социокультурному программированию, направленному на повышение качества жизни населения Мурманской области и вовлечение граждан в процессы территориального развития путем проведения общественных обсуждений, семинаров, </w:t>
      </w:r>
      <w:r>
        <w:t>лекций, и иных аналогичных мероприятий.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Результат предоставления субсидии считается достигнутым в полном объеме при выполнении запланированных значений характеристик результата, установленных в соглашении, на 100 процентов.</w:t>
      </w:r>
    </w:p>
    <w:p w:rsidR="00871D10" w:rsidRDefault="00F72C9D">
      <w:pPr>
        <w:pStyle w:val="ConsPlusNormal0"/>
        <w:spacing w:before="240"/>
        <w:ind w:firstLine="540"/>
        <w:jc w:val="both"/>
      </w:pPr>
      <w:bookmarkStart w:id="8" w:name="P122"/>
      <w:bookmarkEnd w:id="8"/>
      <w:r>
        <w:t>6.2. Характеристики результата п</w:t>
      </w:r>
      <w:r>
        <w:t>редоставления субсидии: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количество выполненных аналитических работ по вопросам пространственного, территориального развития Мурманской области;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- количество организованных мероприятий по просвещению, распространению успешных практик и вовлечению граждан </w:t>
      </w:r>
      <w:r>
        <w:t>и организаций Мурманской области в процессы пространственного, территориального развития;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количество выполненных работ по вопросам проектной деятельности в рамках реализации национальных, федеральных и ведомственных проектов, а также в части повышения производительности труда;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количество организованных мероприятий в рамках реализации национ</w:t>
      </w:r>
      <w:r>
        <w:t>альных, федеральных и ведомственных проектов, а также в части повышения производительности труда.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6.3. Значения характеристик результата предоставления субсидии устанавливаются в соглашении.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6.4. Определение результатов предоставления субсидии осуществляет</w:t>
      </w:r>
      <w:r>
        <w:t xml:space="preserve">ся исходя из степени достижения на 31 декабря отчетного года значений характеристик результата, установленных в </w:t>
      </w:r>
      <w:hyperlink w:anchor="P122" w:tooltip="6.2. Характеристики результата предоставления субсидии:">
        <w:r>
          <w:rPr>
            <w:color w:val="0000FF"/>
          </w:rPr>
          <w:t>пункте 6.2</w:t>
        </w:r>
      </w:hyperlink>
      <w:r>
        <w:t xml:space="preserve"> настоящего Порядка.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Title0"/>
        <w:jc w:val="center"/>
        <w:outlineLvl w:val="1"/>
      </w:pPr>
      <w:r>
        <w:t>7. Требования к отчетнос</w:t>
      </w:r>
      <w:r>
        <w:t>ти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bookmarkStart w:id="9" w:name="P132"/>
      <w:bookmarkEnd w:id="9"/>
      <w:r>
        <w:t>7.1. Получатель ежеквартально предоставляет в Министерство не позднее 10 числа месяца, следующего за отчетным кварталом, а за IV квартал - не позднее 15 января года, следующего за отчетным годом: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7.1.1. Отчет о достижении значений результата предоставл</w:t>
      </w:r>
      <w:r>
        <w:t>ения субсидии, а также характеристик результата.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7.1.2. Отчет об осуществлении расходов, источником финансового обеспечения которых является субсидия.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7.2. Отчеты, указанные в </w:t>
      </w:r>
      <w:hyperlink w:anchor="P132" w:tooltip="7.1. Получатель ежеквартально предоставляет в Министерство не позднее 10 числа месяца, следующего за отчетным кварталом, а за IV квартал - не позднее 15 января года, следующего за отчетным годом:">
        <w:r>
          <w:rPr>
            <w:color w:val="0000FF"/>
          </w:rPr>
          <w:t>пункте 7.1</w:t>
        </w:r>
      </w:hyperlink>
      <w:r>
        <w:t xml:space="preserve"> настоящего Порядка, представляются в Министерство по </w:t>
      </w:r>
      <w:r>
        <w:lastRenderedPageBreak/>
        <w:t>формам, определенным типовыми формами соглаш</w:t>
      </w:r>
      <w:r>
        <w:t>ений, установленными Министерством финансов Мурманской области, в системе "Электронный бюджет".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7.3. Проверка отчетов, указанных в </w:t>
      </w:r>
      <w:hyperlink w:anchor="P132" w:tooltip="7.1. Получатель ежеквартально предоставляет в Министерство не позднее 10 числа месяца, следующего за отчетным кварталом, а за IV квартал - не позднее 15 января года, следующего за отчетным годом:">
        <w:r>
          <w:rPr>
            <w:color w:val="0000FF"/>
          </w:rPr>
          <w:t>пункте 7.1</w:t>
        </w:r>
      </w:hyperlink>
      <w:r>
        <w:t xml:space="preserve"> настоящего Порядка, проводится уполномоченными должностными лицами Министерства в течение 10 (десяти) рабочих дней со дня представления Получа</w:t>
      </w:r>
      <w:r>
        <w:t>телем отчетов на предмет полноты и правильности заполнения отчетности, соблюдения сроков ее представления.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По результатам рассмотрения Министерство принимает решение о принятии либо отклонении представленной отчетности, о чем информирует Получателя посредс</w:t>
      </w:r>
      <w:r>
        <w:t>твом почтовой, электронной или иной связи, обеспечивающей их аутентичность.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В случае отклонения отчетности она возвращается Получателю для устранения недостатков и повторного представления в срок, не превышающий 5 (пяти) рабочих дней с даты отклонения отче</w:t>
      </w:r>
      <w:r>
        <w:t>тности.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Title0"/>
        <w:jc w:val="center"/>
        <w:outlineLvl w:val="1"/>
      </w:pPr>
      <w:r>
        <w:t>8. Требования об осуществлении контроля (мониторинга)</w:t>
      </w:r>
    </w:p>
    <w:p w:rsidR="00871D10" w:rsidRDefault="00F72C9D">
      <w:pPr>
        <w:pStyle w:val="ConsPlusTitle0"/>
        <w:jc w:val="center"/>
      </w:pPr>
      <w:r>
        <w:t>за соблюдением условий и порядка предоставления субсидии</w:t>
      </w:r>
    </w:p>
    <w:p w:rsidR="00871D10" w:rsidRDefault="00F72C9D">
      <w:pPr>
        <w:pStyle w:val="ConsPlusTitle0"/>
        <w:jc w:val="center"/>
      </w:pPr>
      <w:r>
        <w:t>и ответственность за их нарушение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>8.1. Министерство проводит проверки Получателя на предмет соблюдения им порядка и условий предоставле</w:t>
      </w:r>
      <w:r>
        <w:t>ния субсидии, в том числе в части достижения результатов предоставления субсидии. Органы государственного финансового контроля Мурманской области проводят проверки в соответствии со статьями 268.1 и 269.2 Бюджетного кодекса Российской Федерации.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По результ</w:t>
      </w:r>
      <w:r>
        <w:t>атам проверок, проводимых Министерством, составляются акты (справки) о проведении проверки (далее - акты (справки)).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Министерство осуществляет проведение мониторинга достижения результатов предоставления субсидии исходя из достижения значений результатов п</w:t>
      </w:r>
      <w:r>
        <w:t>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приказом Министерст</w:t>
      </w:r>
      <w:r>
        <w:t>ва финансов Российской Федерации от 27.04.2024 N 53н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</w:t>
      </w:r>
      <w:r>
        <w:t xml:space="preserve"> производителям товаров, работ, услуг" (далее - Порядок проведения мониторинга).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</w:t>
      </w:r>
      <w:r>
        <w:t>рмируемым Министерством по форме и в сроки, установленные Порядком проведения мониторинга.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8.2. Возврат субсидии осуществляется Получателем в следующих случаях: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а) нарушения условий предоставления субсидии;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б) образования остатка субсидии, не использованного в отчетном финансовом году, и </w:t>
      </w:r>
      <w:r>
        <w:lastRenderedPageBreak/>
        <w:t xml:space="preserve">отсутствия решения Министерства, согласованного с Министерством финансов Мурманской области, о наличии потребности в остатке субсидии с учетом </w:t>
      </w:r>
      <w:hyperlink w:anchor="P154" w:tooltip="8.4. В случае отсутствия потребности не использованные на 31 декабря финансового года средства субсидии подлежат перечислению в доход областного бюджета.">
        <w:r>
          <w:rPr>
            <w:color w:val="0000FF"/>
          </w:rPr>
          <w:t>п. 8.4</w:t>
        </w:r>
      </w:hyperlink>
      <w:r>
        <w:t xml:space="preserve"> настоящего Порядка;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в) недостижения Получателем результата предоставления субсидии;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г) нецелев</w:t>
      </w:r>
      <w:r>
        <w:t>ого использования средств субсидии.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8.3. В случае выявления при проведении проверок Министерством нарушений Получателем условий предоставления субсидии Министерство одновременно с подписанием акта (справки) направляет Получателю уведомление о нарушениях ус</w:t>
      </w:r>
      <w:r>
        <w:t>ловий предоставления субсидии (далее - уведомление), в котором указываются выявленные нарушения, подлежащая возврату в бюджет сумма денежных средств, а также сроки ее возврата, код бюджетной классификации Российской Федерации, по которому должен быть осуще</w:t>
      </w:r>
      <w:r>
        <w:t>ствлен возврат субсидии.</w:t>
      </w:r>
    </w:p>
    <w:p w:rsidR="00871D10" w:rsidRDefault="00F72C9D">
      <w:pPr>
        <w:pStyle w:val="ConsPlusNormal0"/>
        <w:spacing w:before="240"/>
        <w:ind w:firstLine="540"/>
        <w:jc w:val="both"/>
      </w:pPr>
      <w:bookmarkStart w:id="10" w:name="P154"/>
      <w:bookmarkEnd w:id="10"/>
      <w:r>
        <w:t>8.4. В случае отсутствия потребности не использованные на 31 декабря финансового года средства субсидии подлежат перечислению в доход областного бюджета.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Принятие и согласование решения о наличии потребности в остатках субсидии осуществляются в порядке, утвержденном постановлением Правительства Мурманской области от 22.04.2022 N 314-ПП.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8.5. Возврат субсидии осуществляется Получателем в следующих размерах: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8.5.1. В случае выявления нецелевого использования средств размер субсидии, подлежащий возврату, ограничивается размером средств, в отношении которых были установлены факты нарушений.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8.5.2. В случае выявления нарушения условий предоставления субсидии субс</w:t>
      </w:r>
      <w:r>
        <w:t>идия возвращается в полном объеме.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8.5.3. В случае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</w:t>
      </w:r>
      <w:r>
        <w:t>убсидии - в объеме, равном неиспользованному остатку. Сумма указанного остатка субсидии подлежит перечислению в доход областного бюджета на казначейский счет, открытый Управлению Федерального казначейства по Мурманской области для осуществления и отражения</w:t>
      </w:r>
      <w:r>
        <w:t xml:space="preserve">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8.5.4. В случае недостижения получателем субсидии плановых значений характеристик результата предоставления субсидии </w:t>
      </w:r>
      <w:r>
        <w:t>объем средств, подлежащих возврату в областной бюджет, рассчитывается по следующей формуле: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>V</w:t>
      </w:r>
      <w:r>
        <w:rPr>
          <w:vertAlign w:val="subscript"/>
        </w:rPr>
        <w:t>возврата</w:t>
      </w:r>
      <w:r>
        <w:t xml:space="preserve"> = (V</w:t>
      </w:r>
      <w:r>
        <w:rPr>
          <w:vertAlign w:val="subscript"/>
        </w:rPr>
        <w:t>субсидии</w:t>
      </w:r>
      <w:r>
        <w:t xml:space="preserve"> x k x m / n), где: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>V</w:t>
      </w:r>
      <w:r>
        <w:rPr>
          <w:vertAlign w:val="subscript"/>
        </w:rPr>
        <w:t>субсидии</w:t>
      </w:r>
      <w:r>
        <w:t xml:space="preserve"> - размер субсидии, предоставленной получателю субсидии в соответствии с Соглашением;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lastRenderedPageBreak/>
        <w:t>m - количество характерис</w:t>
      </w:r>
      <w:r>
        <w:t>тик результата, по которым индекс, отражающий уровень недостижения i-го значения характеристики результата, имеет положительное значение;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n - общее количество характеристик результата;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k - коэффициент возврата субсидии.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Коэффициент возврата субсидии рассчи</w:t>
      </w:r>
      <w:r>
        <w:t>тывается по формуле:</w:t>
      </w:r>
    </w:p>
    <w:p w:rsidR="00871D10" w:rsidRDefault="00871D10">
      <w:pPr>
        <w:pStyle w:val="ConsPlusNormal0"/>
        <w:jc w:val="both"/>
      </w:pPr>
    </w:p>
    <w:p w:rsidR="00871D10" w:rsidRPr="00517D16" w:rsidRDefault="00F72C9D">
      <w:pPr>
        <w:pStyle w:val="ConsPlusNormal0"/>
        <w:ind w:firstLine="540"/>
        <w:jc w:val="both"/>
        <w:rPr>
          <w:lang w:val="en-US"/>
        </w:rPr>
      </w:pPr>
      <w:r w:rsidRPr="00517D16">
        <w:rPr>
          <w:lang w:val="en-US"/>
        </w:rPr>
        <w:t>k = SUM D</w:t>
      </w:r>
      <w:r w:rsidRPr="00517D16">
        <w:rPr>
          <w:vertAlign w:val="subscript"/>
          <w:lang w:val="en-US"/>
        </w:rPr>
        <w:t>i</w:t>
      </w:r>
      <w:r w:rsidRPr="00517D16">
        <w:rPr>
          <w:lang w:val="en-US"/>
        </w:rPr>
        <w:t xml:space="preserve"> / m, </w:t>
      </w:r>
      <w:r>
        <w:t>где</w:t>
      </w:r>
      <w:r w:rsidRPr="00517D16">
        <w:rPr>
          <w:lang w:val="en-US"/>
        </w:rPr>
        <w:t>:</w:t>
      </w:r>
    </w:p>
    <w:p w:rsidR="00871D10" w:rsidRPr="00517D16" w:rsidRDefault="00871D10">
      <w:pPr>
        <w:pStyle w:val="ConsPlusNormal0"/>
        <w:jc w:val="both"/>
        <w:rPr>
          <w:lang w:val="en-US"/>
        </w:rPr>
      </w:pPr>
    </w:p>
    <w:p w:rsidR="00871D10" w:rsidRDefault="00F72C9D">
      <w:pPr>
        <w:pStyle w:val="ConsPlusNormal0"/>
        <w:ind w:firstLine="540"/>
        <w:jc w:val="both"/>
      </w:pPr>
      <w:r>
        <w:t>D</w:t>
      </w:r>
      <w:r>
        <w:rPr>
          <w:vertAlign w:val="subscript"/>
        </w:rPr>
        <w:t>i</w:t>
      </w:r>
      <w:r>
        <w:t xml:space="preserve"> - индекс, отражающий уровень недостижения i-й характеристики результата.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При расчете коэффициента возврата субсидии используются только положительные значения индекса, отражающего уровень недостижения i-й хара</w:t>
      </w:r>
      <w:r>
        <w:t>ктеристики результата.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Индекс, отражающий уровень недостижения i-й характеристики результата: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>D</w:t>
      </w:r>
      <w:r>
        <w:rPr>
          <w:vertAlign w:val="subscript"/>
        </w:rPr>
        <w:t>i</w:t>
      </w:r>
      <w:r>
        <w:t xml:space="preserve"> = 1 - Т</w:t>
      </w:r>
      <w:r>
        <w:rPr>
          <w:vertAlign w:val="subscript"/>
        </w:rPr>
        <w:t>i</w:t>
      </w:r>
      <w:r>
        <w:t xml:space="preserve"> / S</w:t>
      </w:r>
      <w:r>
        <w:rPr>
          <w:vertAlign w:val="subscript"/>
        </w:rPr>
        <w:t>i</w:t>
      </w:r>
      <w:r>
        <w:t>, где: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>Ti - фактически достигнутое значение i-й характеристики результата на отчетную дату;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Si - плановое значение i-й характеристики результата, установленное Соглашением.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8.6. Возврат субсидии в случае нарушения Получателем условий ее предоставления и (или) представления недостоверных сведений, которые выявлены по результатам проверок, проведен</w:t>
      </w:r>
      <w:r>
        <w:t>ных Министерством или органами государственного финансового контроля и которые повлекли необоснованное получение субсидии, осуществляется Получателем в следующем порядке: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8.6.1. В течение 7 (семи) рабочих дней со дня принятия Министерством решения о необхо</w:t>
      </w:r>
      <w:r>
        <w:t>димости возврата выделенных бюджетных средств Получателю направляется соответствующее письменное требование.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8.6.2. Получатель в течение 10 (десяти) рабочих дней со дня получения письменного требования обязан перечислить в бюджет указанную сумму средств.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8</w:t>
      </w:r>
      <w:r>
        <w:t>.7. При отказе Получателя от добровольного возврата средств областного бюджета в установленные сроки эти средства взыскиваются в судебном порядке.</w:t>
      </w: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jc w:val="right"/>
        <w:outlineLvl w:val="1"/>
      </w:pPr>
      <w:r>
        <w:t>Приложение N 1</w:t>
      </w:r>
    </w:p>
    <w:p w:rsidR="00871D10" w:rsidRDefault="00F72C9D">
      <w:pPr>
        <w:pStyle w:val="ConsPlusNormal0"/>
        <w:jc w:val="right"/>
      </w:pPr>
      <w:r>
        <w:t>к Порядку</w:t>
      </w:r>
    </w:p>
    <w:p w:rsidR="00871D10" w:rsidRDefault="00871D10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871D1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D10" w:rsidRDefault="00871D10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D10" w:rsidRDefault="00871D10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1D10" w:rsidRDefault="00F72C9D">
            <w:pPr>
              <w:pStyle w:val="ConsPlusNormal0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871D10" w:rsidRDefault="00F72C9D">
            <w:pPr>
              <w:pStyle w:val="ConsPlusNormal0"/>
              <w:jc w:val="right"/>
            </w:pPr>
            <w:r>
              <w:rPr>
                <w:color w:val="392C69"/>
              </w:rPr>
              <w:t xml:space="preserve">(в ред. Постановления Правительства Мурманской </w:t>
            </w:r>
            <w:r>
              <w:rPr>
                <w:color w:val="392C69"/>
              </w:rPr>
              <w:t>области</w:t>
            </w:r>
          </w:p>
          <w:p w:rsidR="00871D10" w:rsidRDefault="00F72C9D">
            <w:pPr>
              <w:pStyle w:val="ConsPlusNormal0"/>
              <w:jc w:val="right"/>
            </w:pPr>
            <w:r>
              <w:rPr>
                <w:color w:val="392C69"/>
              </w:rPr>
              <w:t>от 28.02.2025 N 140-ПП)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D10" w:rsidRDefault="00871D10">
            <w:pPr>
              <w:pStyle w:val="ConsPlusNormal0"/>
            </w:pPr>
          </w:p>
        </w:tc>
      </w:tr>
    </w:tbl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jc w:val="right"/>
      </w:pPr>
      <w:r>
        <w:t>В Министерство градостроительства</w:t>
      </w:r>
    </w:p>
    <w:p w:rsidR="00871D10" w:rsidRDefault="00F72C9D">
      <w:pPr>
        <w:pStyle w:val="ConsPlusNormal0"/>
        <w:jc w:val="right"/>
      </w:pPr>
      <w:r>
        <w:t>и благоустройства Мурманской области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jc w:val="center"/>
      </w:pPr>
      <w:bookmarkStart w:id="11" w:name="P198"/>
      <w:bookmarkEnd w:id="11"/>
      <w:r>
        <w:t>ЗАЯВКА</w:t>
      </w:r>
    </w:p>
    <w:p w:rsidR="00871D10" w:rsidRDefault="00F72C9D">
      <w:pPr>
        <w:pStyle w:val="ConsPlusNormal0"/>
        <w:jc w:val="center"/>
      </w:pPr>
      <w:r>
        <w:t>НА ПРЕДОСТАВЛЕНИИ СУБСИДИИ АВТОНОМНОЙ НЕКОММЕРЧЕСКОЙ</w:t>
      </w:r>
    </w:p>
    <w:p w:rsidR="00871D10" w:rsidRDefault="00F72C9D">
      <w:pPr>
        <w:pStyle w:val="ConsPlusNormal0"/>
        <w:jc w:val="center"/>
      </w:pPr>
      <w:r>
        <w:t>ОРГАНИЗАЦИИ "АГЕНТСТВО ТЕРРИТОРИАЛЬНОГО РАЗВИТИЯ МУРМАНСКОЙ</w:t>
      </w:r>
    </w:p>
    <w:p w:rsidR="00871D10" w:rsidRDefault="00F72C9D">
      <w:pPr>
        <w:pStyle w:val="ConsPlusNormal0"/>
        <w:jc w:val="center"/>
      </w:pPr>
      <w:r>
        <w:t>ОБЛАСТИ" НА ФИНАНСОВОЕ ОБЕСПЕЧЕНИЕ ЗАТРАТ, СВЯЗАННЫХ</w:t>
      </w:r>
    </w:p>
    <w:p w:rsidR="00871D10" w:rsidRDefault="00F72C9D">
      <w:pPr>
        <w:pStyle w:val="ConsPlusNormal0"/>
        <w:jc w:val="center"/>
      </w:pPr>
      <w:r>
        <w:t>С ОСУЩЕСТВЛЕНИЕМ УСТАВНОЙ ДЕЯТЕЛЬНОСТИ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>Прошу предоставить субсидию автономной некоммерческой организации "Агентство территориального развития Мурманской области" на финансовое обеспечение затрат, связанных с уставной деятельностью.</w:t>
      </w:r>
    </w:p>
    <w:p w:rsidR="00871D10" w:rsidRDefault="00871D10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613"/>
        <w:gridCol w:w="2835"/>
      </w:tblGrid>
      <w:tr w:rsidR="00871D10">
        <w:tc>
          <w:tcPr>
            <w:tcW w:w="567" w:type="dxa"/>
            <w:vAlign w:val="center"/>
          </w:tcPr>
          <w:p w:rsidR="00871D10" w:rsidRDefault="00F72C9D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5613" w:type="dxa"/>
            <w:vAlign w:val="center"/>
          </w:tcPr>
          <w:p w:rsidR="00871D10" w:rsidRDefault="00F72C9D">
            <w:pPr>
              <w:pStyle w:val="ConsPlusNormal0"/>
              <w:jc w:val="center"/>
            </w:pPr>
            <w:r>
              <w:t>Направление затрат (направления расходования субсидии) в</w:t>
            </w:r>
            <w:r>
              <w:t xml:space="preserve"> рамках субсидии</w:t>
            </w:r>
          </w:p>
        </w:tc>
        <w:tc>
          <w:tcPr>
            <w:tcW w:w="2835" w:type="dxa"/>
            <w:vAlign w:val="center"/>
          </w:tcPr>
          <w:p w:rsidR="00871D10" w:rsidRDefault="00F72C9D">
            <w:pPr>
              <w:pStyle w:val="ConsPlusNormal0"/>
              <w:jc w:val="center"/>
            </w:pPr>
            <w:r>
              <w:t>Размер субсидии (рублей)</w:t>
            </w:r>
          </w:p>
        </w:tc>
      </w:tr>
      <w:tr w:rsidR="00871D10">
        <w:tc>
          <w:tcPr>
            <w:tcW w:w="567" w:type="dxa"/>
            <w:vAlign w:val="center"/>
          </w:tcPr>
          <w:p w:rsidR="00871D10" w:rsidRDefault="00F72C9D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5613" w:type="dxa"/>
            <w:vAlign w:val="center"/>
          </w:tcPr>
          <w:p w:rsidR="00871D10" w:rsidRDefault="00871D10">
            <w:pPr>
              <w:pStyle w:val="ConsPlusNormal0"/>
            </w:pPr>
          </w:p>
        </w:tc>
        <w:tc>
          <w:tcPr>
            <w:tcW w:w="2835" w:type="dxa"/>
            <w:vAlign w:val="center"/>
          </w:tcPr>
          <w:p w:rsidR="00871D10" w:rsidRDefault="00871D10">
            <w:pPr>
              <w:pStyle w:val="ConsPlusNormal0"/>
            </w:pPr>
          </w:p>
        </w:tc>
      </w:tr>
      <w:tr w:rsidR="00871D10">
        <w:tc>
          <w:tcPr>
            <w:tcW w:w="567" w:type="dxa"/>
            <w:vAlign w:val="center"/>
          </w:tcPr>
          <w:p w:rsidR="00871D10" w:rsidRDefault="00F72C9D">
            <w:pPr>
              <w:pStyle w:val="ConsPlusNormal0"/>
              <w:jc w:val="center"/>
            </w:pPr>
            <w:r>
              <w:t>...</w:t>
            </w:r>
          </w:p>
        </w:tc>
        <w:tc>
          <w:tcPr>
            <w:tcW w:w="5613" w:type="dxa"/>
            <w:vAlign w:val="center"/>
          </w:tcPr>
          <w:p w:rsidR="00871D10" w:rsidRDefault="00871D10">
            <w:pPr>
              <w:pStyle w:val="ConsPlusNormal0"/>
            </w:pPr>
          </w:p>
        </w:tc>
        <w:tc>
          <w:tcPr>
            <w:tcW w:w="2835" w:type="dxa"/>
            <w:vAlign w:val="center"/>
          </w:tcPr>
          <w:p w:rsidR="00871D10" w:rsidRDefault="00871D10">
            <w:pPr>
              <w:pStyle w:val="ConsPlusNormal0"/>
            </w:pPr>
          </w:p>
        </w:tc>
      </w:tr>
    </w:tbl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ind w:firstLine="540"/>
        <w:jc w:val="both"/>
      </w:pPr>
      <w:r>
        <w:t>Общий объем субсидии составляет ________________________ рублей.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Настоящим подтверждаю, что на первое число месяца, предшествующего месяцу, в котором планируется заключение соглашения о предоставлении из областного бюджета субсидии, АНО "Агентство территориального развития Мурманской области":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на едином налоговом счет</w:t>
      </w:r>
      <w:r>
        <w:t>е АНО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не имеет просроченной задол</w:t>
      </w:r>
      <w:r>
        <w:t>женности по возврату в областной бюджет субсидий,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областным бюджетом;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не является иностранны</w:t>
      </w:r>
      <w:r>
        <w:t>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</w:t>
      </w:r>
      <w:r>
        <w:t>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</w:t>
      </w:r>
      <w:r>
        <w:t>и иное не предусмотрено законодательством Российской Федерации);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lastRenderedPageBreak/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не находится в составляемых в ра</w:t>
      </w:r>
      <w:r>
        <w:t>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</w:t>
      </w:r>
      <w:r>
        <w:t>тами или с распространением оружия массового уничтожения;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не является иностранным агентом в соответствии с Федеральным законом "О контроле за деятельностью лиц, находящихся под иностранным влиянием";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- не является получателем средств из областного бюджет</w:t>
      </w:r>
      <w:r>
        <w:t xml:space="preserve">а на основании иных нормативных правовых актов Мурманской области на цели, установленные </w:t>
      </w:r>
      <w:hyperlink w:anchor="P51" w:tooltip="1.2. Целью предоставления субсидии является финансовое обеспечение затрат АНО &quot;АТР МО&quot; (далее - Получатель), связанных с осуществлением уставной деятельности в рамках комплекса процессных мероприятий &quot;Обеспечение реализации государственных функций в сфере архи">
        <w:r>
          <w:rPr>
            <w:color w:val="0000FF"/>
          </w:rPr>
          <w:t>пунктом 1.2</w:t>
        </w:r>
      </w:hyperlink>
      <w:r>
        <w:t xml:space="preserve"> Порядка.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>Достоверность представленной информации гарантирую.</w:t>
      </w:r>
    </w:p>
    <w:p w:rsidR="00871D10" w:rsidRDefault="00F72C9D">
      <w:pPr>
        <w:pStyle w:val="ConsPlusNormal0"/>
        <w:spacing w:before="240"/>
        <w:ind w:firstLine="540"/>
        <w:jc w:val="both"/>
      </w:pPr>
      <w:r>
        <w:t xml:space="preserve">Приложения: документы в соответствии с </w:t>
      </w:r>
      <w:hyperlink w:anchor="P75" w:tooltip="3.1. Для получения субсидии Получатель представляет в Министерство следующие документы:">
        <w:r>
          <w:rPr>
            <w:color w:val="0000FF"/>
          </w:rPr>
          <w:t>пунктом 3.1</w:t>
        </w:r>
      </w:hyperlink>
      <w:r>
        <w:t xml:space="preserve"> Порядка.</w:t>
      </w:r>
    </w:p>
    <w:p w:rsidR="00871D10" w:rsidRDefault="00871D10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2"/>
        <w:gridCol w:w="2026"/>
        <w:gridCol w:w="569"/>
        <w:gridCol w:w="3155"/>
      </w:tblGrid>
      <w:tr w:rsidR="00871D10"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871D10" w:rsidRDefault="00F72C9D">
            <w:pPr>
              <w:pStyle w:val="ConsPlusNormal0"/>
            </w:pPr>
            <w:r>
              <w:t>Руководитель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D10" w:rsidRDefault="00871D10">
            <w:pPr>
              <w:pStyle w:val="ConsPlusNormal0"/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871D10" w:rsidRDefault="00871D10">
            <w:pPr>
              <w:pStyle w:val="ConsPlusNormal0"/>
            </w:pP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D10" w:rsidRDefault="00871D10">
            <w:pPr>
              <w:pStyle w:val="ConsPlusNormal0"/>
            </w:pPr>
          </w:p>
        </w:tc>
      </w:tr>
      <w:tr w:rsidR="00871D10"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871D10" w:rsidRDefault="00871D10">
            <w:pPr>
              <w:pStyle w:val="ConsPlusNormal0"/>
            </w:pP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1D10" w:rsidRDefault="00F72C9D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871D10" w:rsidRDefault="00871D10">
            <w:pPr>
              <w:pStyle w:val="ConsPlusNormal0"/>
            </w:pP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1D10" w:rsidRDefault="00F72C9D">
            <w:pPr>
              <w:pStyle w:val="ConsPlusNormal0"/>
              <w:jc w:val="center"/>
            </w:pPr>
            <w:r>
              <w:t>расшифровка подписи</w:t>
            </w:r>
          </w:p>
        </w:tc>
      </w:tr>
      <w:tr w:rsidR="00871D10">
        <w:tc>
          <w:tcPr>
            <w:tcW w:w="8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1D10" w:rsidRDefault="00F72C9D">
            <w:pPr>
              <w:pStyle w:val="ConsPlusNormal0"/>
            </w:pPr>
            <w:r>
              <w:t>М.П.</w:t>
            </w:r>
          </w:p>
        </w:tc>
      </w:tr>
    </w:tbl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Normal0"/>
        <w:jc w:val="right"/>
        <w:outlineLvl w:val="1"/>
      </w:pPr>
      <w:r>
        <w:t>Приложение N 2</w:t>
      </w:r>
    </w:p>
    <w:p w:rsidR="00871D10" w:rsidRDefault="00F72C9D">
      <w:pPr>
        <w:pStyle w:val="ConsPlusNormal0"/>
        <w:jc w:val="right"/>
      </w:pPr>
      <w:r>
        <w:t>к Порядку</w:t>
      </w:r>
    </w:p>
    <w:p w:rsidR="00871D10" w:rsidRDefault="00871D10">
      <w:pPr>
        <w:pStyle w:val="ConsPlusNormal0"/>
        <w:jc w:val="both"/>
      </w:pPr>
    </w:p>
    <w:p w:rsidR="00871D10" w:rsidRDefault="00F72C9D">
      <w:pPr>
        <w:pStyle w:val="ConsPlusTitle0"/>
        <w:jc w:val="center"/>
      </w:pPr>
      <w:bookmarkStart w:id="12" w:name="P245"/>
      <w:bookmarkEnd w:id="12"/>
      <w:r>
        <w:t>ПЕРЕЧЕНЬ</w:t>
      </w:r>
    </w:p>
    <w:p w:rsidR="00871D10" w:rsidRDefault="00F72C9D">
      <w:pPr>
        <w:pStyle w:val="ConsPlusTitle0"/>
        <w:jc w:val="center"/>
      </w:pPr>
      <w:r>
        <w:t>НАПРАВЛЕНИЙ РАСХОДОВ, ИСТОЧНИКОМ ФИНАНСОВОГО ОБЕСПЕЧЕНИЯ</w:t>
      </w:r>
    </w:p>
    <w:p w:rsidR="00871D10" w:rsidRDefault="00F72C9D">
      <w:pPr>
        <w:pStyle w:val="ConsPlusTitle0"/>
        <w:jc w:val="center"/>
      </w:pPr>
      <w:r>
        <w:t>КОТОРЫХ ЯВЛЯЕТСЯ СУБСИДИЯ НА ФИНАНСОВОЕ ОБЕСПЕЧЕНИЕ ЗАТРАТ</w:t>
      </w:r>
    </w:p>
    <w:p w:rsidR="00871D10" w:rsidRDefault="00F72C9D">
      <w:pPr>
        <w:pStyle w:val="ConsPlusTitle0"/>
        <w:jc w:val="center"/>
      </w:pPr>
      <w:r>
        <w:t>АНО "АГЕНТСТВО ТЕРРИТОРИАЛЬНОГО РАЗВИТИЯ МУРМАНСКОЙ</w:t>
      </w:r>
    </w:p>
    <w:p w:rsidR="00871D10" w:rsidRDefault="00F72C9D">
      <w:pPr>
        <w:pStyle w:val="ConsPlusTitle0"/>
        <w:jc w:val="center"/>
      </w:pPr>
      <w:r>
        <w:t>ОБЛАСТИ", СВЯЗАННЫХ С ОСУЩЕСТВЛЕНИЕМ УСТАВНОЙ ДЕЯТЕЛЬНОСТИ</w:t>
      </w:r>
    </w:p>
    <w:p w:rsidR="00871D10" w:rsidRDefault="00871D10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8447"/>
      </w:tblGrid>
      <w:tr w:rsidR="00871D10">
        <w:tc>
          <w:tcPr>
            <w:tcW w:w="566" w:type="dxa"/>
            <w:vAlign w:val="center"/>
          </w:tcPr>
          <w:p w:rsidR="00871D10" w:rsidRDefault="00F72C9D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8447" w:type="dxa"/>
            <w:vAlign w:val="center"/>
          </w:tcPr>
          <w:p w:rsidR="00871D10" w:rsidRDefault="00F72C9D">
            <w:pPr>
              <w:pStyle w:val="ConsPlusNormal0"/>
              <w:jc w:val="center"/>
            </w:pPr>
            <w:r>
              <w:t>Наименование расходов,</w:t>
            </w:r>
            <w:r>
              <w:t xml:space="preserve"> подлежащих финансовому обеспечению за счет субсидии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оплату труда (включая уплату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</w:t>
            </w:r>
            <w:r>
              <w:t>бязательное медицинское страхование, обязательное социальное страхование от несчастных случаев на производстве и профессиональных заболеваний, стимулирующие выплаты)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компенсацию оплаты стоимости проезда и провоза багажа к месту использования отпуска и обратно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аренду помещений (включая затраты на аренду офисных помещений, аренду земельных участков и сооружений)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 xml:space="preserve">Расходы на услуги связи, в том </w:t>
            </w:r>
            <w:r>
              <w:t>числе почтовой и Интернет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услуги по содержанию имущества (включая коммунальные услуги, содержание зданий (помещений) и прочие расходы)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информационное сопровождение деятельности (включая разработку и содержание сайтов, социальных</w:t>
            </w:r>
            <w:r>
              <w:t xml:space="preserve"> сетей, дизайн и печать полиграфической продукции, организацию и (или) участие в мероприятиях направленных на достижение целей)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 xml:space="preserve">Расходы на материально-техническое обеспечение (включая расходные и вспомогательные материалы к компьютерному оборудованию и </w:t>
            </w:r>
            <w:r>
              <w:t>оргтехнике, расходы на канцелярские товары и периодические издания, расходы на хозяйственный инвентарь, приобретение мебели и бытовой техники)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программное обеспечение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в сфере информационных технологий, включая справочно-правовые системы и ИТ-сопровождение (работы для поддержания ИТ-инфраструктуры в рабочем состоянии)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аудиторские, бухгалтерские, экономические, юридические, консалтинговые услуги, др</w:t>
            </w:r>
            <w:r>
              <w:t xml:space="preserve">угие услуги, оказываемые по договорам гражданско-правового характера, необходимые для обеспечения и организации оказания услуг по пространственному и территориальному развитию Мурманской области, повышению эффективности управления территориями и объектами </w:t>
            </w:r>
            <w:r>
              <w:t>недвижимости на территории Мурманской области, социокультурному программированию, повышению качества жизни населения Мурманской области и вовлечению граждан в процессы территориального развития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организацию и проведение мероприятий, направлен</w:t>
            </w:r>
            <w:r>
              <w:t>ных на пространственное и территориальное развитие Мурманской области, повышение эффективности управления территориями и объектами недвижимости на территории Мурманской области, социокультурное программирование, повышение качества жизни населения Мурманско</w:t>
            </w:r>
            <w:r>
              <w:t>й области и вовлечение граждан в процессы территориального развития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различные социологические исследования по вопросам пространственного и территориального развития Мурманской области, повышения эффективности управления территориями и объект</w:t>
            </w:r>
            <w:r>
              <w:t xml:space="preserve">ами недвижимости на территории Мурманской области, социокультурного программирования, повышения качества жизни населения Мурманской области </w:t>
            </w:r>
            <w:r>
              <w:lastRenderedPageBreak/>
              <w:t>и вовлечение граждан в процессы территориального развития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lastRenderedPageBreak/>
              <w:t>13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разработку проектов, мастер-планов, стратег</w:t>
            </w:r>
            <w:r>
              <w:t>ий, концепций, программ, проектов и других аналитических документов по вопросам пространственного и территориального развития Мурманской области, повышения эффективности управления территориями и объектами недвижимости на территории Мурманской области, соц</w:t>
            </w:r>
            <w:r>
              <w:t>иокультурного программирования, повышения качества жизни населения Мурманской области и вовлечение граждан в процессы территориального развития, оказываемые по договорам гражданско-правового характера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организацию и проведение мероприятий по исследованию методов повышения производительности труда, эффективности и качества организации государственных функций и услуг, основанные на обеспечении эффективного и комфортного взаимодействия человека и</w:t>
            </w:r>
            <w:r>
              <w:t xml:space="preserve"> органов исполнительной власти и органов местного самоуправления, за счет анализа актуальных потребностей и клиентского опыта человека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 xml:space="preserve">Расходы на оказание услуг по методологической и консультационной поддержке исполнительных органов Мурманской области </w:t>
            </w:r>
            <w:r>
              <w:t>при осуществлении ими проектной деятельности в рамках реализации национальных, федеральных и ведомственных проектов, а также в части повышения производительности труда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возмещение расходов, связанных со служебными командировками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Транспорт</w:t>
            </w:r>
            <w:r>
              <w:t>ные расходы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Затраты на оплату расходов по повышению квалификации/обучению сотрудников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корпоративные процедуры (включая услуги банка, услуги нотариуса, аттестацию рабочих мест, мероприятия по охране труда и пожарной безопасности)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кадастровые и оценочные работы</w:t>
            </w:r>
          </w:p>
        </w:tc>
      </w:tr>
      <w:tr w:rsidR="00871D10">
        <w:tc>
          <w:tcPr>
            <w:tcW w:w="566" w:type="dxa"/>
          </w:tcPr>
          <w:p w:rsidR="00871D10" w:rsidRDefault="00F72C9D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8447" w:type="dxa"/>
          </w:tcPr>
          <w:p w:rsidR="00871D10" w:rsidRDefault="00F72C9D">
            <w:pPr>
              <w:pStyle w:val="ConsPlusNormal0"/>
            </w:pPr>
            <w:r>
              <w:t>Расходы на проживание в гостинице или наем жилого помещения</w:t>
            </w:r>
          </w:p>
        </w:tc>
      </w:tr>
    </w:tbl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jc w:val="both"/>
      </w:pPr>
    </w:p>
    <w:p w:rsidR="00871D10" w:rsidRDefault="00871D10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71D1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D" w:rsidRDefault="00F72C9D">
      <w:r>
        <w:separator/>
      </w:r>
    </w:p>
  </w:endnote>
  <w:endnote w:type="continuationSeparator" w:id="0">
    <w:p w:rsidR="00F72C9D" w:rsidRDefault="00F7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D10" w:rsidRDefault="00871D10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871D10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871D10" w:rsidRDefault="00F72C9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</w:t>
          </w: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71D10" w:rsidRDefault="00F72C9D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71D10" w:rsidRDefault="00F72C9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517D16">
            <w:rPr>
              <w:rFonts w:ascii="Tahoma" w:hAnsi="Tahoma" w:cs="Tahoma"/>
              <w:noProof/>
            </w:rPr>
            <w:t>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517D16">
            <w:rPr>
              <w:rFonts w:ascii="Tahoma" w:hAnsi="Tahoma" w:cs="Tahoma"/>
              <w:noProof/>
            </w:rPr>
            <w:t>16</w:t>
          </w:r>
          <w:r>
            <w:fldChar w:fldCharType="end"/>
          </w:r>
        </w:p>
      </w:tc>
    </w:tr>
  </w:tbl>
  <w:p w:rsidR="00871D10" w:rsidRDefault="00F72C9D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D10" w:rsidRDefault="00871D10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871D10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871D10" w:rsidRDefault="00F72C9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71D10" w:rsidRDefault="00F72C9D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71D10" w:rsidRDefault="00F72C9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517D16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517D16">
            <w:rPr>
              <w:rFonts w:ascii="Tahoma" w:hAnsi="Tahoma" w:cs="Tahoma"/>
              <w:noProof/>
            </w:rPr>
            <w:t>16</w:t>
          </w:r>
          <w:r>
            <w:fldChar w:fldCharType="end"/>
          </w:r>
        </w:p>
      </w:tc>
    </w:tr>
  </w:tbl>
  <w:p w:rsidR="00871D10" w:rsidRDefault="00F72C9D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D" w:rsidRDefault="00F72C9D">
      <w:r>
        <w:separator/>
      </w:r>
    </w:p>
  </w:footnote>
  <w:footnote w:type="continuationSeparator" w:id="0">
    <w:p w:rsidR="00F72C9D" w:rsidRDefault="00F72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871D10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871D10" w:rsidRDefault="00F72C9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29.01.2025 N 46-ПП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(ред. </w:t>
          </w:r>
          <w:r>
            <w:rPr>
              <w:rFonts w:ascii="Tahoma" w:hAnsi="Tahoma" w:cs="Tahoma"/>
              <w:sz w:val="16"/>
              <w:szCs w:val="16"/>
            </w:rPr>
            <w:t>от 28.02.2025)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опреде...</w:t>
          </w:r>
        </w:p>
      </w:tc>
      <w:tc>
        <w:tcPr>
          <w:tcW w:w="2300" w:type="pct"/>
          <w:vAlign w:val="center"/>
        </w:tcPr>
        <w:p w:rsidR="00871D10" w:rsidRDefault="00F72C9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871D10" w:rsidRDefault="00871D10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71D10" w:rsidRDefault="00871D10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871D10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871D10" w:rsidRDefault="00F72C9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Правительства Мурманской </w:t>
          </w:r>
          <w:r>
            <w:rPr>
              <w:rFonts w:ascii="Tahoma" w:hAnsi="Tahoma" w:cs="Tahoma"/>
              <w:sz w:val="16"/>
              <w:szCs w:val="16"/>
            </w:rPr>
            <w:t>области от 29.01.2025 N 46-ПП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28.02.2025)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опреде...</w:t>
          </w:r>
        </w:p>
      </w:tc>
      <w:tc>
        <w:tcPr>
          <w:tcW w:w="2300" w:type="pct"/>
          <w:vAlign w:val="center"/>
        </w:tcPr>
        <w:p w:rsidR="00871D10" w:rsidRDefault="00F72C9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871D10" w:rsidRDefault="00871D10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71D10" w:rsidRDefault="00871D10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10"/>
    <w:rsid w:val="00517D16"/>
    <w:rsid w:val="00871D10"/>
    <w:rsid w:val="00F7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AB5DC-0F7B-4C02-8AF7-22EE03316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5813</Words>
  <Characters>33140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29.01.2025 N 46-ПП
(ред. от 28.02.2025)
"Об утверждении Порядка определения объема и предоставления субсидии из областного бюджета автономной некоммерческой организации "Агентство территориального развития</vt:lpstr>
    </vt:vector>
  </TitlesOfParts>
  <Company>КонсультантПлюс Версия 4024.00.50</Company>
  <LinksUpToDate>false</LinksUpToDate>
  <CharactersWithSpaces>38876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29.01.2025 N 46-ПП
(ред. от 28.02.2025)
"Об утверждении Порядка определения объема и предоставления субсидии из областного бюджета автономной некоммерческой организации "Агентство территориального развития Мурманской области" на финансовое обеспечение затрат, связанных с осуществлением уставной деятельности, и внесении изменений в постановление Правительства Мурманской области от 19.12.2023 N 987-ПП"</dc:title>
  <dc:creator>Горемыкин С.В.</dc:creator>
  <cp:lastModifiedBy>Горемыкин С.В.</cp:lastModifiedBy>
  <cp:revision>2</cp:revision>
  <dcterms:created xsi:type="dcterms:W3CDTF">2025-10-27T08:48:00Z</dcterms:created>
  <dcterms:modified xsi:type="dcterms:W3CDTF">2025-10-27T08:48:00Z</dcterms:modified>
</cp:coreProperties>
</file>